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BC66D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9B68D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B5124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BC66D2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AB5124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9B68D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9B68DA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BC66D2">
      <w:pPr>
        <w:spacing w:after="8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AB5124">
        <w:rPr>
          <w:rFonts w:ascii="Arial" w:hAnsi="Arial" w:cs="Arial"/>
          <w:b/>
          <w:i/>
          <w:color w:val="000000" w:themeColor="text1"/>
          <w:sz w:val="34"/>
          <w:szCs w:val="34"/>
        </w:rPr>
        <w:t>5</w:t>
      </w:r>
      <w:r w:rsidR="009B68DA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9B68DA">
        <w:rPr>
          <w:rFonts w:ascii="Arial" w:hAnsi="Arial" w:cs="Arial"/>
          <w:b/>
          <w:i/>
          <w:color w:val="000000" w:themeColor="text1"/>
          <w:sz w:val="34"/>
          <w:szCs w:val="34"/>
        </w:rPr>
        <w:t>ень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</w:t>
      </w:r>
      <w:bookmarkStart w:id="0" w:name="_GoBack"/>
      <w:bookmarkEnd w:id="0"/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>а на границах нашего Отечества.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поражены подразделения ВСУ в районах населенных пунктов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Ивановка и Двуречная Харьковской области.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Кроме того, пресечены действия пяти диверсионно-разведывательных групп ВСУ в районах населенных пунктов Ольшана, Крахмальное и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За прошедшие сутки уничтожено до 60и украинских военнослужащих, две боевые бронированные машины, три автомобиля, а также две гаубицы Д-20.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 и армейской авиации, огнем артиллерии и тяжелых огнеметных систем группировки войск (сил) «Центр» нанесено поражение подразделениям противника в районах населенных пунктов Серебрянка Донецкой Народной Республики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Уничтожено до 80 украинских военнослужащих, две боевые бронированные машины, два автомобиля, а также гаубица Д-30.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На Донецком направлении штурмовые отряды «Вагнер» ведут боевые действия высокой интенсивности по овладению кварталами в западных районах города Артемовск.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Действующие на флангах подразделения Воздушно-десантных войск оказывают штурмовым отрядам поддержку и пресекают попытки противника доставить в город боеприпасы и ввести резервы.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Авиацией Южной группировки войск для поддержки штурмовых отрядов в данном районе совершенно 14 самолетовылетов. Ракетными войсками и артиллерией выполнены 62 огневые задачи.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Общие потери противника за сутки на данном направлении составили до 340 украинских военнослужащих, два танка, пять </w:t>
      </w:r>
      <w:r w:rsidRPr="00BC66D2">
        <w:rPr>
          <w:rFonts w:ascii="Arial" w:hAnsi="Arial" w:cs="Arial"/>
          <w:color w:val="000000" w:themeColor="text1"/>
          <w:sz w:val="34"/>
          <w:szCs w:val="34"/>
        </w:rPr>
        <w:lastRenderedPageBreak/>
        <w:t>боевых бронированных машин, четыре автомобиля, боевая машина РСЗО «Град», а также гаубицы Д-20 и Д-30.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живой силе и технике противника в районах населенных пунктов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Марфополь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Зализничное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>, Новоандреевка и Каменское Запорожской области.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За сутки на данных направлениях уничтожено до 40 украинских военнослужащих, две боевые бронированные машины, два пикапа, а также две гаубицы Д-30.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Криница Запорожской области уничтожен склад с боеприпасами украинских войск.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противника уничтожено до 35 украинских военнослужащих, шесть автомобилей, боевая машина РСЗО «Град», а также самоходная гаубица «Акация».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93 артиллерийским подразделениям ВСУ на огневых позициях, живой силе и технике в 136 районах.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шесть реактивных снарядов системы залпового огня HIMARS.</w:t>
      </w:r>
    </w:p>
    <w:p w:rsidR="00BC66D2" w:rsidRPr="00BC66D2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уничтожено шесть украинских беспилотных летательных аппаратов в районах населенных пунктов Тамбовка Запорожской области, Великая Лепетиха и </w:t>
      </w:r>
      <w:proofErr w:type="spellStart"/>
      <w:r w:rsidRPr="00BC66D2">
        <w:rPr>
          <w:rFonts w:ascii="Arial" w:hAnsi="Arial" w:cs="Arial"/>
          <w:color w:val="000000" w:themeColor="text1"/>
          <w:sz w:val="34"/>
          <w:szCs w:val="34"/>
        </w:rPr>
        <w:t>Масловка</w:t>
      </w:r>
      <w:proofErr w:type="spellEnd"/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C44683" w:rsidRPr="00C44683" w:rsidRDefault="00BC66D2" w:rsidP="00BC66D2">
      <w:pPr>
        <w:spacing w:after="8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C66D2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BC66D2">
        <w:rPr>
          <w:rFonts w:ascii="Arial" w:hAnsi="Arial" w:cs="Arial"/>
          <w:color w:val="000000" w:themeColor="text1"/>
          <w:sz w:val="34"/>
          <w:szCs w:val="34"/>
        </w:rPr>
        <w:t xml:space="preserve"> 407 самолетов, 228 вертолетов, 3753 беспилотных летательных аппарата, 415 зенитных ракетных комплексов, 8672 танка и других боевых бронированных машин, 1084 боевые машины реактивных систем залпового огня, 4584 орудия полевой артиллерии и минометов, а также 9504 единицы специальной военной автомобильной техники.</w:t>
      </w:r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0605C3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0605C3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605C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605C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605C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5A0A-7C2A-4928-B4EE-14604EA9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91</cp:revision>
  <cp:lastPrinted>2022-10-18T11:10:00Z</cp:lastPrinted>
  <dcterms:created xsi:type="dcterms:W3CDTF">2023-02-25T12:06:00Z</dcterms:created>
  <dcterms:modified xsi:type="dcterms:W3CDTF">2023-04-14T12:39:00Z</dcterms:modified>
</cp:coreProperties>
</file>