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6913B4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6913B4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913B4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913B4"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6913B4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6913B4">
              <w:rPr>
                <w:rFonts w:ascii="Impact" w:hAnsi="Impact"/>
                <w:i/>
                <w:color w:val="BC2414"/>
                <w:sz w:val="36"/>
              </w:rPr>
              <w:t>6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921332" w:rsidRDefault="004032C8" w:rsidP="006913B4">
      <w:pPr>
        <w:spacing w:after="6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3"/>
          <w:szCs w:val="33"/>
        </w:rPr>
      </w:pPr>
      <w:bookmarkStart w:id="0" w:name="_GoBack"/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1 год и </w:t>
      </w:r>
      <w:r w:rsidR="00777230"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>2</w:t>
      </w:r>
      <w:r w:rsidR="006913B4">
        <w:rPr>
          <w:rFonts w:ascii="Arial" w:hAnsi="Arial" w:cs="Arial"/>
          <w:b/>
          <w:i/>
          <w:color w:val="000000" w:themeColor="text1"/>
          <w:sz w:val="33"/>
          <w:szCs w:val="33"/>
        </w:rPr>
        <w:t>2</w:t>
      </w:r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д</w:t>
      </w:r>
      <w:r w:rsidR="006913B4">
        <w:rPr>
          <w:rFonts w:ascii="Arial" w:hAnsi="Arial" w:cs="Arial"/>
          <w:b/>
          <w:i/>
          <w:color w:val="000000" w:themeColor="text1"/>
          <w:sz w:val="33"/>
          <w:szCs w:val="33"/>
        </w:rPr>
        <w:t>ня</w:t>
      </w:r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</w:t>
      </w:r>
      <w:r w:rsidR="00045CF8"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ударами штурмовой и армейской авиации, огнем артиллерии «Западной» группировки войск поражена живая сила и техника противника в районах населенных пунктов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Гряниковка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Котляровка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>, Берестовое Харьковской области, Новоселовское и Розовка Луганской Народной Республики.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>Уничтожено до 50 украинских военнослужащих, два автомобиля, а также артиллерийская система М777 производства США.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огнем артиллерии и тяжелых огнеметных систем группировки войск (сил) «Центр» поражены подразделения противника в районах населенных пунктов Невское,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Червоная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Диброва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Ямполовка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и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Григоровка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>За сутки на данном направлении уничтожено свыше 100 украинских военнослужащих, две боевые машины пехоты, две боевые бронированные машины, самоходная артиллерийская установка «Акация», а также гаубица Д-30.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На Донецком направлении в ходе активных действий подразделений «Южной» группировки войск, ударов авиации и огня артиллерии за сутки уничтожено до 275 украинских военнослужащих, два танка, две боевые бронированные машины, два пикапа, боевая машина РСЗО «Ураган», гаубица Д-20, самоходная гаубица «Гвоздика», а также самоходная артиллерийская установка М109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Paladin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производства США.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нанесено комплексное поражение подразделениям ВСУ в районах населенных пунктов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Угледар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>, Павловка Донецкой Народной Республики, Новоданиловка и Щербаки Запорожской области.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>За сутки на данных направлениях потери противника составили до 60 украинских военнослужащих, четыре танка, бронеавтомобиль, гаубица Д-20, а также одна артиллерийская система М777 производства США.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lastRenderedPageBreak/>
        <w:t>На Херсонском направлении в ходе огневого поражения противника за сутки уничтожено более 35 украинских военнослужащих, один танк, две боевые машины РСЗО «Град», а также гаубица Д-30.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93 артиллерийским подразделениям на огневых позициях, живой силе и технике в 186 районах.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Камышевка Донецкой Народной Республики поражён пункт управления 59-й мотопехотной бригады ВСУ.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Ясеновое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уничтожен украинский зенитный ракетный комплекс </w:t>
      </w:r>
      <w:r>
        <w:rPr>
          <w:rFonts w:ascii="Arial" w:hAnsi="Arial" w:cs="Arial"/>
          <w:color w:val="000000" w:themeColor="text1"/>
          <w:sz w:val="33"/>
          <w:szCs w:val="33"/>
        </w:rPr>
        <w:br/>
      </w:r>
      <w:r w:rsidRPr="006913B4">
        <w:rPr>
          <w:rFonts w:ascii="Arial" w:hAnsi="Arial" w:cs="Arial"/>
          <w:color w:val="000000" w:themeColor="text1"/>
          <w:sz w:val="33"/>
          <w:szCs w:val="33"/>
        </w:rPr>
        <w:t>С-300.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>Также в районе населенного пункта Константиновка уничтожен украинский зенитный ракетный комплекс «Оса-АКМ».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Миньковка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уничтожена радиолокационная станция контрбатарейной борьбы AN/TPQ-50 производства США.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Истребительной авиацией ВКС России в районе населенного пункта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Нововодяное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 сбит самолет МиГ-29 воздушных сил Украины.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>Средствами противовоздушной обороны за сутки перехвачено восемь реактивных снарядов систем залпового огня HIMARS и «Ураган», а также одна противорадиолокационная ракета HARM.</w:t>
      </w:r>
    </w:p>
    <w:p w:rsidR="006913B4" w:rsidRPr="006913B4" w:rsidRDefault="006913B4" w:rsidP="006913B4">
      <w:pPr>
        <w:spacing w:after="6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Кроме того, уничтожены девять украинских беспилотных летательных аппаратов в районах населенных пунктов Ивановка Харьковской области, Зеленый Гай,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Верхнеторецкое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Григоровка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Кременная Луганской Народной Республики, Малая </w:t>
      </w:r>
      <w:proofErr w:type="spellStart"/>
      <w:r w:rsidRPr="006913B4">
        <w:rPr>
          <w:rFonts w:ascii="Arial" w:hAnsi="Arial" w:cs="Arial"/>
          <w:color w:val="000000" w:themeColor="text1"/>
          <w:sz w:val="33"/>
          <w:szCs w:val="33"/>
        </w:rPr>
        <w:t>Кардашинка</w:t>
      </w:r>
      <w:proofErr w:type="spellEnd"/>
      <w:r w:rsidRPr="006913B4">
        <w:rPr>
          <w:rFonts w:ascii="Arial" w:hAnsi="Arial" w:cs="Arial"/>
          <w:color w:val="000000" w:themeColor="text1"/>
          <w:sz w:val="33"/>
          <w:szCs w:val="33"/>
        </w:rPr>
        <w:t>, АЛЕШКИ Херсонской области.</w:t>
      </w:r>
    </w:p>
    <w:p w:rsidR="00651986" w:rsidRPr="00921332" w:rsidRDefault="006913B4" w:rsidP="006913B4">
      <w:pPr>
        <w:spacing w:after="60" w:line="23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6913B4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r w:rsidRPr="006913B4">
        <w:rPr>
          <w:rFonts w:ascii="Arial" w:hAnsi="Arial" w:cs="Arial"/>
          <w:color w:val="000000" w:themeColor="text1"/>
          <w:sz w:val="33"/>
          <w:szCs w:val="33"/>
        </w:rPr>
        <w:t xml:space="preserve"> 402 самолета, 221 вертолет, 3434 беспилотных летательных аппаратов, 414 зенитных ракетных комплекса, 8316 танков и других боевых бронированных машин, 1062 боевые машины реактивных систем залпового огня, 4372 орудия полевой артиллерии и миномета, а также 8959 единиц специальной военной автомобильной техники.</w:t>
      </w:r>
    </w:p>
    <w:bookmarkEnd w:id="0"/>
    <w:p w:rsidR="006913B4" w:rsidRPr="00921332" w:rsidRDefault="006913B4">
      <w:pPr>
        <w:spacing w:after="60" w:line="23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EE" w:rsidRDefault="00A842EE" w:rsidP="00175717">
      <w:pPr>
        <w:spacing w:after="0" w:line="240" w:lineRule="auto"/>
      </w:pPr>
      <w:r>
        <w:separator/>
      </w:r>
    </w:p>
  </w:endnote>
  <w:end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187ACD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187ACD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EE" w:rsidRDefault="00A842EE" w:rsidP="00175717">
      <w:pPr>
        <w:spacing w:after="0" w:line="240" w:lineRule="auto"/>
      </w:pPr>
      <w:r>
        <w:separator/>
      </w:r>
    </w:p>
  </w:footnote>
  <w:foot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87AC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87AC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87AC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6819-4F92-45F8-8226-45410AE4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43</cp:revision>
  <cp:lastPrinted>2022-10-18T11:10:00Z</cp:lastPrinted>
  <dcterms:created xsi:type="dcterms:W3CDTF">2023-02-25T12:06:00Z</dcterms:created>
  <dcterms:modified xsi:type="dcterms:W3CDTF">2023-03-16T16:00:00Z</dcterms:modified>
</cp:coreProperties>
</file>