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424AB3" w:rsidP="00A2276F">
            <w:pPr>
              <w:rPr>
                <w:rFonts w:ascii="Pobeda" w:hAnsi="Pobeda"/>
                <w:color w:val="BC2414"/>
              </w:rPr>
            </w:pPr>
            <w:proofErr w:type="gramStart"/>
            <w:r w:rsidRPr="00B87514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A2276F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A2276F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A2276F">
              <w:rPr>
                <w:rFonts w:ascii="Pobeda" w:hAnsi="Pobeda"/>
                <w:color w:val="BC2414"/>
                <w:sz w:val="32"/>
                <w:szCs w:val="32"/>
              </w:rPr>
              <w:t>55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B87514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94F76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A2276F">
              <w:rPr>
                <w:rFonts w:ascii="Impact" w:hAnsi="Impact"/>
                <w:i/>
                <w:color w:val="BC2414"/>
                <w:sz w:val="36"/>
                <w:lang w:val="en-US"/>
              </w:rPr>
              <w:t>4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A2276F" w:rsidRDefault="00CB411A" w:rsidP="00A227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A2276F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A2276F" w:rsidRPr="00A2276F" w:rsidRDefault="00A2276F" w:rsidP="00A227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оперативно-тактической и армейской авиации, огнем артиллерии и действиями штурмовых групп Западной группировки войск поражены подразделения 14-й и 92-й механизированных бригад ВСУ в районах населенных пунктов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Гряниковка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, Двуречная,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Першотравневое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Масютовка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 и Крахмальное Харьковской области. Уничтожено до 80 украинских военнослужащих, шесть автомобилей и одна гаубица Д-20.</w:t>
      </w:r>
    </w:p>
    <w:p w:rsidR="00A2276F" w:rsidRPr="00A2276F" w:rsidRDefault="00A2276F" w:rsidP="00A227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штурмовой и армейской авиацией, артиллерией и тяжелыми огнеметными системами группировки войск «Центр» нанесено поражение подразделениям ВСУ в районах населенных пунктов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Торское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, Невское,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а также Серебрянского лесничества. За сутки на данном направлении уничтожено до 100 украинских военнослужащих, боевая машина пехоты, пять боевых бронированных машин и самоходная гаубица «Акация».</w:t>
      </w:r>
    </w:p>
    <w:p w:rsidR="00A2276F" w:rsidRPr="00A2276F" w:rsidRDefault="00A2276F" w:rsidP="00A227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в результате ударов авиации и огня артиллерии Южной группировки войск за сутки уничтожено свыше 250 украинских военнослужащих, боевая машина пехоты, четыре автомобиля, две артиллерийские системы М777 производства США, самоходная гаубица М109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Paladin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 производства США, самоходная гаубица «Акация», буксируемая пушка «Гиацинт» и две противотанковые пушки «Рапира». Также в районе населенного пункта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Белогоровка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уничтожен склад боеприпасов.</w:t>
      </w:r>
    </w:p>
    <w:p w:rsidR="00A2276F" w:rsidRPr="00A2276F" w:rsidRDefault="00A2276F" w:rsidP="00A227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оперативно-тактической авиацией и артиллерией группировки войск «Восток» нанесено комплексное огневое поражение подразделениям ВСУ в районах населенных пунктов Павловка и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Потери противника на данном направлении за сутки </w:t>
      </w:r>
      <w:r w:rsidRPr="00A2276F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составили свыше 50 украинских военнослужащих, один танк, две боевые машины пехоты и гаубица «Мста-Б». В районах населенных пунктов Елизаветовка Донецкой Народной Республики и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Дружелюбовка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уничтожены два склада боеприпасов ВСУ.</w:t>
      </w:r>
    </w:p>
    <w:p w:rsidR="00A2276F" w:rsidRPr="00A2276F" w:rsidRDefault="00A2276F" w:rsidP="00A227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2276F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контрбатарейной борьбы за сутки уничтожены: самоходная гаубица «Гвоздика», самоходная гаубица «Акация» и в районе населенного пункта Куйбышево Херсонской области радиолокационная станция контрбатарейной борьбы производства США AN/TPQ-50.</w:t>
      </w:r>
    </w:p>
    <w:p w:rsidR="00A2276F" w:rsidRPr="00A2276F" w:rsidRDefault="00A2276F" w:rsidP="00A227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2276F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78 артиллерийским подразделениям ВСУ на огневых позициях, живой силе и военной технике в 119 районах. В районе населенного пункта Красный Лиман Донецкой Народной Республики уничтожен украинский зенитный ракетный комплекс «Оса-АКМ». В результате высокоточного ракетного удара ВКС России в городе Харьков поражены цеха сборки бронетанковой техники ВСУ на территории машиностроительного «Завода им. Малышева».</w:t>
      </w:r>
    </w:p>
    <w:p w:rsidR="00A2276F" w:rsidRPr="00A2276F" w:rsidRDefault="00A2276F" w:rsidP="00A227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уничтожены 17 украинских беспилотных летательных аппаратов в районах населенных пунктов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Фомовка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, Владимировка, Полтава,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Голиково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 Пшеничное,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Коломыйчиха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, Нижняя Дуванка, Лисичанск Луганской Народной Республики, Октябрьское, Никольское, Терны, Благовещенка Донецкой Народной Республики, </w:t>
      </w:r>
      <w:proofErr w:type="spellStart"/>
      <w:r w:rsidRPr="00A2276F">
        <w:rPr>
          <w:rFonts w:ascii="Arial" w:hAnsi="Arial" w:cs="Arial"/>
          <w:color w:val="000000" w:themeColor="text1"/>
          <w:sz w:val="34"/>
          <w:szCs w:val="34"/>
        </w:rPr>
        <w:t>Работино</w:t>
      </w:r>
      <w:proofErr w:type="spellEnd"/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, Приютное и Пологи Запорожской области. Кроме того, сбито 12 реактивных снарядов систем залпового огня HIMARS, «Ольха» и «Ураган». </w:t>
      </w:r>
    </w:p>
    <w:p w:rsidR="00A2276F" w:rsidRPr="00A2276F" w:rsidRDefault="00A2276F" w:rsidP="00A227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7D1F76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r w:rsidRPr="00A2276F">
        <w:rPr>
          <w:rFonts w:ascii="Arial" w:hAnsi="Arial" w:cs="Arial"/>
          <w:color w:val="000000" w:themeColor="text1"/>
          <w:sz w:val="34"/>
          <w:szCs w:val="34"/>
        </w:rPr>
        <w:t xml:space="preserve"> 384 самолета, 207 вертолетов, 3105 беспилотных летательных аппаратов, 404 зенитных ракетных комплекса, 7840 танков и других боевых бронированных машин, 1015 боевых машин реактивных систем залпового огня, 4073 орудия полевой артиллерии и миномета, а также 8350 единиц специальной военной автомобильной техники.</w:t>
      </w:r>
    </w:p>
    <w:bookmarkEnd w:id="0"/>
    <w:p w:rsidR="00A2276F" w:rsidRPr="00B21F75" w:rsidRDefault="00A2276F" w:rsidP="00A2276F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0A0780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proofErr w:type="spellEnd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0A0780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proofErr w:type="spellEnd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D1F7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D1F7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D1F7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0780"/>
    <w:rsid w:val="000A117D"/>
    <w:rsid w:val="000A60B4"/>
    <w:rsid w:val="000B3888"/>
    <w:rsid w:val="000B7F6D"/>
    <w:rsid w:val="000C27B6"/>
    <w:rsid w:val="000D20B0"/>
    <w:rsid w:val="00100933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AB3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2276F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94F76"/>
    <w:rsid w:val="00CA027F"/>
    <w:rsid w:val="00CA773A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C34D-E68F-4550-9562-32B12511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100</cp:revision>
  <cp:lastPrinted>2022-10-18T11:10:00Z</cp:lastPrinted>
  <dcterms:created xsi:type="dcterms:W3CDTF">2022-12-24T12:59:00Z</dcterms:created>
  <dcterms:modified xsi:type="dcterms:W3CDTF">2023-02-14T10:55:00Z</dcterms:modified>
</cp:coreProperties>
</file>