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B87514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B87514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B87514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B8751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B87514">
              <w:rPr>
                <w:rFonts w:ascii="Impact" w:hAnsi="Impact"/>
                <w:i/>
                <w:color w:val="BC2414"/>
                <w:sz w:val="36"/>
                <w:lang w:val="en-US"/>
              </w:rPr>
              <w:t>3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B87514" w:rsidRDefault="00CB411A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специальную военную операцию.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>В течение 10 февраля Вооруженными Силами Российской Федерации нанесен массированный удар высокоточным оружием большой дальности воздушного, морского и наземного базирования, а также беспилотными летательными аппаратами по критически важным объектам системы энергетики, обеспечивающим функционирование предприятий оборонно-промышленного комплекса и транспортной системы Украины. Цели массированного удара достигнуты. Все назначенные объекты поражены. Остановлена работа энергоемких производств оборонно-промышленного комплекса. Также заблокирована переброска железнодорожным транспортом в районы боевых действий иностранного вооружения, боеприпасов и резервов.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штурмовой и армейской авиации, огнем артиллерии Западной группировки войск нанесено поражение живой силе и технике ВСУ в районах населенных пунктов Новоселовское Луганской Народной Республики,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Новомлынск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Гряниковка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и Крахмальное Харьковской области. Уничтожено до 40 украинских военнослужащих, два автомобиля и гаубица Д-30. Кроме того, в районе города Волчанск Харьковской области уничтожен склад артиллерийских боеприпасов ВСУ.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результате ударов оперативно-тактической и армейской авиации, огня артиллерии и тяжелых огнеметных систем группировки войск «Центр» нанесено поражение подразделениям противника в районах населенных пунктов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Невское Луганской Народной Республики,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Ямполовка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а также Серебрянского лесничества. За сутки на данном направлении уничтожено до 120 украинских военнослужащих, боевая машина пехоты, четыре боевые бронированные машины, установка РСЗО «Град», а также две гаубицы Д-20.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На Донецком направлении в результате успешных наступательных действий Южной группировки войск, ударов авиации и огня артиллерии за сутки уничтожено свыше 140 украинских военнослужащих, две боевые машины пехоты и шесть автомобилей, две артиллерийские системы М777 производства США, самоходная гаубица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Krab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польского производства, гаубицы «Гиацинт-Б» и Д-30, а также радиолокационная </w:t>
      </w:r>
      <w:r w:rsidRPr="00B87514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станция контрбатарейной борьбы производства США AN/TPQ-50. В районах населенных пунктов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Бердычи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>, Авдеевка и Новопокровское Донецкой Народной Республики уничтожены три склада боеприпасов ВСУ.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оперативно-тактической авиацией и артиллерией группировки войск «Восток» наносилось комплексное огневое поражение подразделениям ВСУ в районах населенных пунктов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Павловка и Новоселка Донецкой Народной Республики. Потери противника за сутки на данном направлении составили более 95 украинских военнослужащих, четыре танка, две боевые машины пехоты, два автомобиля, артиллерийская система М109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Paladin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производства США, три гаубицы Д-20, а также гаубица «Гиацинт-Б». Кроме того, в районах населенных пунктов Елизаветовка,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Доброволье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и Новоукраинка уничтожены три склада боеприпасов.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ходе контрбатарейной борьбы уничтожены две гаубицы «Мста-Б» и Д-30. Также в районе города Херсон поражен склад боеприпасов ВСУ.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92 артиллерийским подразделениям ВСУ на огневых позициях, живой силе и военной технике в 116 районах. В районе населенного пункта Новый Буг Николаевской области уничтожена радиолокационная станция наведения зенитного ракетного комплекса С-300. В районе населенного пункта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Шебелинка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уничтожена радиолокационная станция обнаружения воздушных целей 35Д6.</w:t>
      </w:r>
    </w:p>
    <w:p w:rsidR="00B87514" w:rsidRPr="00B87514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уничтожены 19 беспилотных летательных аппаратов в районах населенных пунктов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Нововодяное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Голиково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, Кременная, Луганской Народной Республики, Александровка Донецкой Народной Республики, Жовтневое, Федоровка, Обильное и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Дорожнянка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области, </w:t>
      </w:r>
      <w:proofErr w:type="spellStart"/>
      <w:r w:rsidRPr="00B87514">
        <w:rPr>
          <w:rFonts w:ascii="Arial" w:hAnsi="Arial" w:cs="Arial"/>
          <w:color w:val="000000" w:themeColor="text1"/>
          <w:sz w:val="32"/>
          <w:szCs w:val="32"/>
        </w:rPr>
        <w:t>Рыбальче</w:t>
      </w:r>
      <w:proofErr w:type="spellEnd"/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области, а также пять реактивных снарядов системы залпового огня HIMARS.</w:t>
      </w:r>
    </w:p>
    <w:p w:rsidR="00B21F75" w:rsidRPr="00B21F75" w:rsidRDefault="00B87514" w:rsidP="00B87514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  <w:bookmarkStart w:id="0" w:name="_GoBack"/>
      <w:r w:rsidRPr="000A0780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r w:rsidRPr="00B8751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bookmarkEnd w:id="0"/>
      <w:r w:rsidRPr="00B87514">
        <w:rPr>
          <w:rFonts w:ascii="Arial" w:hAnsi="Arial" w:cs="Arial"/>
          <w:color w:val="000000" w:themeColor="text1"/>
          <w:sz w:val="32"/>
          <w:szCs w:val="32"/>
        </w:rPr>
        <w:t>384 самолета, 207 вертолетов, 3088 беспилотных летательных аппаратов, 403 зенитных ракетных комплекса, 7826 танков и других боевых бронированных машин, 1015 боевых машин реактивных систем залпового огня, 4061 орудие полевой артиллерии и миномет, а также 8326 единиц специальной военной автомобильной техники.</w:t>
      </w: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0A078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begin"/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HYPERLINK</w:instrText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"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http</w:instrText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://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www</w:instrText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themajor</w:instrText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ru</w:instrText>
                                  </w:r>
                                  <w:r w:rsidRPr="00B87514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separate"/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end"/>
                                  </w:r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0A078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begin"/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HYPERLINK</w:instrText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http</w:instrText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://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www</w:instrText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themajor</w:instrText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ru</w:instrText>
                            </w:r>
                            <w:r w:rsidRPr="00B87514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separate"/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07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07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A078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E612-C2BC-4FDA-A629-523B662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98</cp:revision>
  <cp:lastPrinted>2022-10-18T11:10:00Z</cp:lastPrinted>
  <dcterms:created xsi:type="dcterms:W3CDTF">2022-12-24T12:59:00Z</dcterms:created>
  <dcterms:modified xsi:type="dcterms:W3CDTF">2023-02-11T13:11:00Z</dcterms:modified>
</cp:coreProperties>
</file>