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CB411A" w:rsidP="00CB411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2409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FC47D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CB411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CB411A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специальную военную операцию.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оперативно-тактической авиации, огнем артиллерии «Западной» группировки войск нанесено поражение живой силе и технике подразделений 103-й бригады территориальной обороны и 92-й механизированной бригады ВСУ в районах населенных пунктов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Табаевка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>, Берестовое Харьковской области и Новоселовское Луганской Народной Республики.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Уничтожено до 40 украинских военнослужащих, боевая бронированная машина, а также радиолокационная станция контрбатарейной борьбы AN/TPQ-50 производства США.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Также в районе населенного пункта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Благодатовка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уничтожен склад артиллерийских боеприпасов ВСУ.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результате огня артиллерии и наступательных действий группировки войск «Центр» нанесено поражение подразделениям 66-й механизированной, 25-й воздушно-десантной и 80-й десантно-штурмовой бригад ВСУ в районах населенных пунктов Невское Луганской Народной Республики,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Ямполовка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а также Серебрянского лесничества.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Уничтожено свыше 70 украинских военнослужащих, две боевые бронированные машины, боевая машина пехоты, гаубица Д-20 и артиллерийская система М-777 производства США.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Кроме того, в районе населенного пункта Красный Лиман Донецкой Народной Республики уничтожен склад боеприпасов ВСУ.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ходе наступательных действий подразделения «Южной» группировки войск заняли более выгодные рубежи и позиции.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За сутки на данном направлении уничтожено до 40 украинских военнослужащих, гаубица «Мста-Б», а также радиолокационная станция контрбатарейной борьбы AN/TPQ-37 производства США.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Красноармейск Донецкой Народной Республики уничтожено хранилище топлива для военной техники ВСУ.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Кроме того, в районах населенных пунктов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Кураховка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и Михайловка Донецкой Народной Республики уничтожены два склада боеприпасов ВСУ.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На Запорожском направлении огнем артиллерии и подразделений группировки войск «Восток» нанесено поражение подразделениям 108-й и 110-й бригад территориальной обороны в районах населенных пунктов Левадное,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Марфополь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Луговское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Потери противника на данном направлении за сутки составили более 20 украинских военнослужащих, артиллерийская система М-777 производства США, две гаубицы Д-20, а также гаубица Д-30.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На Херсонском направлении в ходе контрбатарейной борьбы за </w:t>
      </w:r>
      <w:proofErr w:type="gramStart"/>
      <w:r w:rsidRPr="00CB411A">
        <w:rPr>
          <w:rFonts w:ascii="Arial" w:hAnsi="Arial" w:cs="Arial"/>
          <w:color w:val="000000" w:themeColor="text1"/>
          <w:sz w:val="32"/>
          <w:szCs w:val="32"/>
        </w:rPr>
        <w:t>сутки</w:t>
      </w:r>
      <w:proofErr w:type="gram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уничтожены: самоходная гаубица «Акация» и две самоходные артиллерийские установки «Гвоздика».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Антоновка Херсонской области уничтожена пусковая установка реактивной системы залпового огня HIMARS производства США.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Кроме того, в районах населенных пунктов Казацкое, Николаевка и Михайловка Херсонской области поражены три склада с боеприпасами ВСУ.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86 артиллерийским подразделениям ВСУ на огневых позициях, живой силе и военной технике в 103 районах.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Красноармейск Донецкой Народной Республики уничтожена пусковая установка тактических ракет «Точка-У» и зенитный ракетный комплекс NASAMS производства Норвегии.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Червоноармейское Херсонской области сбит самолет МиГ-29 воздушных сил Украины.</w:t>
      </w:r>
    </w:p>
    <w:p w:rsidR="00CB411A" w:rsidRPr="00CB411A" w:rsidRDefault="00CB411A" w:rsidP="00CB411A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Сре</w:t>
      </w:r>
      <w:bookmarkStart w:id="0" w:name="_GoBack"/>
      <w:bookmarkEnd w:id="0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дствами противовоздушной обороны за сутки сбито семь украинских беспилотных летательных аппаратов в районах населенных пунктов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Котляровка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области, Никольское, </w:t>
      </w:r>
      <w:proofErr w:type="spellStart"/>
      <w:r w:rsidRPr="00CB411A">
        <w:rPr>
          <w:rFonts w:ascii="Arial" w:hAnsi="Arial" w:cs="Arial"/>
          <w:color w:val="000000" w:themeColor="text1"/>
          <w:sz w:val="32"/>
          <w:szCs w:val="32"/>
        </w:rPr>
        <w:t>Кирилловка</w:t>
      </w:r>
      <w:proofErr w:type="spellEnd"/>
      <w:r w:rsidRPr="00CB411A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Куземовка, Кременная Луганской Народной Республики, а также Голая Пристань Херсонской области.</w:t>
      </w:r>
    </w:p>
    <w:p w:rsidR="00C24094" w:rsidRDefault="00CB411A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B411A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382 самолета, 206 вертолетов, 3008 беспилотных летательных аппаратов, 403 зенитных ракетных комплекса, 7723 танка и другие боевые бронированные машины, 1004 боевые машины реактивных систем залпового огня, 3988 орудий полевой артиллерии и минометов, а также 8255 единиц специальной военной автомобильной техники.</w:t>
      </w:r>
    </w:p>
    <w:p w:rsidR="00CB411A" w:rsidRPr="00CB411A" w:rsidRDefault="00CB411A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33"/>
        </w:rPr>
      </w:pPr>
    </w:p>
    <w:p w:rsidR="00C24094" w:rsidRPr="00CB411A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3"/>
        </w:rPr>
      </w:pPr>
    </w:p>
    <w:p w:rsidR="00C24094" w:rsidRPr="00CB411A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243205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CB411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9.1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CB411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B411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B411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B411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411A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0B5-3718-4A9D-9F38-714F385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80</cp:revision>
  <cp:lastPrinted>2022-10-18T11:10:00Z</cp:lastPrinted>
  <dcterms:created xsi:type="dcterms:W3CDTF">2022-12-24T12:59:00Z</dcterms:created>
  <dcterms:modified xsi:type="dcterms:W3CDTF">2023-02-03T23:10:00Z</dcterms:modified>
</cp:coreProperties>
</file>